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restauracja, legitymizm, równowaga europejska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wiedeńskiego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>Newcomena, Charlesa Wheatsone’a, Thomasa Davenporta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Edmunda Burke’a,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Bonawentury Niemojowskich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i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>bitwy o 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t>Iwana Dybicza, Iwana Paskiewicza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r w:rsidR="00F14DD4">
              <w:rPr>
                <w:rFonts w:ascii="Calibri" w:hAnsi="Calibri" w:cs="HelveticaNeueLTPro-Roman"/>
              </w:rPr>
              <w:t xml:space="preserve">Iganiami i </w:t>
            </w:r>
            <w:r w:rsidRPr="00762DE1">
              <w:rPr>
                <w:rFonts w:ascii="Calibri" w:hAnsi="Calibri" w:cs="HelveticaNeueLTPro-Roman"/>
              </w:rPr>
              <w:t>Boremlem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 xml:space="preserve">tel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>z 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Wiktora Heltmana</w:t>
            </w:r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Paskiewicza,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paskiewiczowska,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Flottwella,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Bema, Adama 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Franza von Stadiona,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Fort Sumter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>wyprawa „tysiąca czerwonych 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r w:rsidRPr="00745A67">
              <w:rPr>
                <w:rFonts w:ascii="Calibri" w:hAnsi="Calibri" w:cs="HelveticaNeueLTPro-Roman"/>
                <w:i/>
              </w:rPr>
              <w:t>risorgimento</w:t>
            </w:r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Cavoura,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Cavoura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>Rerum novarum</w:t>
            </w:r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Karola 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>enia teorii ewolucji przez Karola 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Orville’a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Wilbura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>, 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Johna Dunlopa, Gottlieba Daimlera, Rudolfa Diesela,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>, Josepha Swana</w:t>
            </w:r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Auguste’a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Auguste’a Renoira, </w:t>
            </w:r>
            <w:r w:rsidRPr="00762DE1">
              <w:rPr>
                <w:rFonts w:ascii="Calibri" w:hAnsi="Calibri"/>
              </w:rPr>
              <w:t>Auguste’a i Louisa Lumière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Émile’a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Praca 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Odwilż 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Bazar, odwilż (wiosna) posewastopolska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>wyjaśnia znaczenie 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po upadku 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>„noc apuchtinowska”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cywilizacyjne</w:t>
            </w:r>
            <w:r w:rsidR="000D5246" w:rsidRPr="000D5246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ziemieństwo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endencja,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Bezdanami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Prystora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malarstwa ku 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między europejskimi 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państwa centralne, 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>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Hercegowiny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>a 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wypowiedzenia</w:t>
            </w:r>
            <w:r w:rsidRPr="00267889">
              <w:rPr>
                <w:rFonts w:ascii="Calibri" w:hAnsi="Calibri" w:cs="HelveticaNeueLTPro-Roman"/>
              </w:rPr>
              <w:t xml:space="preserve"> wojny Serbii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Habsburga, </w:t>
            </w:r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zatopienia Lusitanii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Tannenbergiem (VIII 1914), </w:t>
            </w:r>
            <w:r w:rsidR="008C1B1D" w:rsidRPr="00267889">
              <w:rPr>
                <w:rFonts w:ascii="Calibri" w:hAnsi="Calibri" w:cs="HelveticaNeueLTPro-Roman"/>
              </w:rPr>
              <w:t>bitwy pod Kostiuchnówką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Woodrowa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>rla Kuka, Hansa von Beselera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wyniku rozpadu 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>, führer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>system monopartyjny,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terminu: Reichswehra</w:t>
            </w:r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  <w:i/>
              </w:rPr>
              <w:t>Anschluss</w:t>
            </w:r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>zbombardowania Guerniki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Édouarda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Tymczasowy 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z Symonem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Symona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Zachodnioukraińskiej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 wobec ekspansji ukraińskiej 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Maxime’a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>Edgara Vincenta lorda d’Abernona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>, 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Baudouin de Courtenaya</w:t>
            </w:r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 Stefana 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 déco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>traktatu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o niestosowaniu 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EC" w:rsidRDefault="004973EC" w:rsidP="00495CA6">
      <w:r>
        <w:separator/>
      </w:r>
    </w:p>
  </w:endnote>
  <w:endnote w:type="continuationSeparator" w:id="0">
    <w:p w:rsidR="004973EC" w:rsidRDefault="004973EC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C27D6">
      <w:rPr>
        <w:noProof/>
      </w:rPr>
      <w:t>1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EC" w:rsidRDefault="004973EC" w:rsidP="00495CA6">
      <w:r>
        <w:separator/>
      </w:r>
    </w:p>
  </w:footnote>
  <w:footnote w:type="continuationSeparator" w:id="0">
    <w:p w:rsidR="004973EC" w:rsidRDefault="004973EC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A7123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63D1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3EC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7D6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562BD-C44B-4D99-948A-0B1AC6DE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DFDD-D4A0-427F-BA76-E1398000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beatkabf@gmail.com</cp:lastModifiedBy>
  <cp:revision>2</cp:revision>
  <cp:lastPrinted>2012-06-08T11:25:00Z</cp:lastPrinted>
  <dcterms:created xsi:type="dcterms:W3CDTF">2020-09-16T14:13:00Z</dcterms:created>
  <dcterms:modified xsi:type="dcterms:W3CDTF">2020-09-16T14:13:00Z</dcterms:modified>
</cp:coreProperties>
</file>